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2A" w:rsidRPr="00F8229A" w:rsidRDefault="000D732A" w:rsidP="00F8229A">
      <w:pPr>
        <w:jc w:val="center"/>
        <w:rPr>
          <w:b/>
        </w:rPr>
      </w:pPr>
      <w:r w:rsidRPr="000D732A">
        <w:rPr>
          <w:rFonts w:hint="eastAsia"/>
          <w:b/>
          <w:sz w:val="28"/>
          <w:szCs w:val="28"/>
        </w:rPr>
        <w:t>河北壳牌石油销售有限公司沧县风化店加油站</w:t>
      </w:r>
      <w:r w:rsidR="00F8229A" w:rsidRPr="000D732A">
        <w:rPr>
          <w:rFonts w:ascii="宋体" w:hAnsi="宋体" w:hint="eastAsia"/>
          <w:b/>
          <w:sz w:val="28"/>
          <w:szCs w:val="28"/>
        </w:rPr>
        <w:t>安</w:t>
      </w:r>
      <w:r w:rsidR="00F8229A" w:rsidRPr="00F8229A">
        <w:rPr>
          <w:rFonts w:ascii="宋体" w:hAnsi="宋体" w:hint="eastAsia"/>
          <w:b/>
          <w:sz w:val="28"/>
          <w:szCs w:val="28"/>
        </w:rPr>
        <w:t>全现状评价</w:t>
      </w:r>
    </w:p>
    <w:tbl>
      <w:tblPr>
        <w:tblStyle w:val="a5"/>
        <w:tblW w:w="0" w:type="auto"/>
        <w:tblLayout w:type="fixed"/>
        <w:tblLook w:val="04A0"/>
      </w:tblPr>
      <w:tblGrid>
        <w:gridCol w:w="1245"/>
        <w:gridCol w:w="423"/>
        <w:gridCol w:w="1275"/>
        <w:gridCol w:w="2277"/>
        <w:gridCol w:w="3204"/>
      </w:tblGrid>
      <w:tr w:rsidR="00F8229A" w:rsidRPr="000D732A" w:rsidTr="00F8229A">
        <w:trPr>
          <w:trHeight w:val="378"/>
        </w:trPr>
        <w:tc>
          <w:tcPr>
            <w:tcW w:w="8424" w:type="dxa"/>
            <w:gridSpan w:val="5"/>
            <w:hideMark/>
          </w:tcPr>
          <w:p w:rsidR="00F8229A" w:rsidRPr="000D732A" w:rsidRDefault="00F8229A" w:rsidP="008933EB">
            <w:pPr>
              <w:widowControl/>
              <w:wordWrap w:val="0"/>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项目简况</w:t>
            </w:r>
          </w:p>
        </w:tc>
      </w:tr>
      <w:tr w:rsidR="00F8229A" w:rsidRPr="000D732A" w:rsidTr="008933EB">
        <w:trPr>
          <w:trHeight w:val="758"/>
        </w:trPr>
        <w:tc>
          <w:tcPr>
            <w:tcW w:w="1245"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安全评价项目名称</w:t>
            </w:r>
          </w:p>
        </w:tc>
        <w:tc>
          <w:tcPr>
            <w:tcW w:w="7179" w:type="dxa"/>
            <w:gridSpan w:val="4"/>
            <w:hideMark/>
          </w:tcPr>
          <w:p w:rsidR="00F8229A" w:rsidRPr="000D732A" w:rsidRDefault="000D732A" w:rsidP="008B6D1A">
            <w:pPr>
              <w:widowControl/>
              <w:spacing w:before="100" w:beforeAutospacing="1" w:after="100" w:afterAutospacing="1" w:line="335" w:lineRule="atLeast"/>
              <w:jc w:val="center"/>
              <w:rPr>
                <w:rFonts w:ascii="Arial" w:hAnsi="Arial" w:cs="Arial"/>
                <w:color w:val="000000"/>
                <w:sz w:val="24"/>
                <w:szCs w:val="24"/>
              </w:rPr>
            </w:pPr>
            <w:r w:rsidRPr="000D732A">
              <w:rPr>
                <w:rFonts w:hint="eastAsia"/>
                <w:sz w:val="24"/>
                <w:szCs w:val="24"/>
              </w:rPr>
              <w:t>河北壳牌石油销售有限公司沧县风化店加油站</w:t>
            </w:r>
          </w:p>
        </w:tc>
      </w:tr>
      <w:tr w:rsidR="00F8229A" w:rsidRPr="000D732A" w:rsidTr="008933EB">
        <w:trPr>
          <w:trHeight w:val="510"/>
        </w:trPr>
        <w:tc>
          <w:tcPr>
            <w:tcW w:w="1245"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评价类别</w:t>
            </w:r>
          </w:p>
        </w:tc>
        <w:tc>
          <w:tcPr>
            <w:tcW w:w="7179" w:type="dxa"/>
            <w:gridSpan w:val="4"/>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安全现状评价报告</w:t>
            </w:r>
          </w:p>
        </w:tc>
      </w:tr>
      <w:tr w:rsidR="00F8229A" w:rsidRPr="000D732A" w:rsidTr="008933EB">
        <w:trPr>
          <w:trHeight w:val="510"/>
        </w:trPr>
        <w:tc>
          <w:tcPr>
            <w:tcW w:w="1245"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项目简介</w:t>
            </w:r>
          </w:p>
        </w:tc>
        <w:tc>
          <w:tcPr>
            <w:tcW w:w="7179" w:type="dxa"/>
            <w:gridSpan w:val="4"/>
            <w:hideMark/>
          </w:tcPr>
          <w:p w:rsidR="00F8229A" w:rsidRPr="000D732A" w:rsidRDefault="000D732A" w:rsidP="000D732A">
            <w:pPr>
              <w:pStyle w:val="a4"/>
              <w:spacing w:line="360" w:lineRule="auto"/>
              <w:ind w:firstLineChars="200" w:firstLine="480"/>
              <w:jc w:val="both"/>
              <w:rPr>
                <w:rFonts w:ascii="宋体" w:hAnsi="宋体"/>
                <w:color w:val="FF0000"/>
                <w:sz w:val="24"/>
                <w:szCs w:val="24"/>
              </w:rPr>
            </w:pPr>
            <w:r w:rsidRPr="000D732A">
              <w:rPr>
                <w:rFonts w:hint="eastAsia"/>
                <w:sz w:val="24"/>
                <w:szCs w:val="24"/>
              </w:rPr>
              <w:t>河北壳牌石油销售有限公司沧县风化店加油站</w:t>
            </w:r>
            <w:r w:rsidRPr="000D732A">
              <w:rPr>
                <w:rFonts w:ascii="宋体" w:hAnsi="宋体" w:hint="eastAsia"/>
                <w:sz w:val="24"/>
                <w:szCs w:val="24"/>
              </w:rPr>
              <w:t>原名为沧县嘉诚成品油销售中心加油站，成立于2008年，该站位于沧县风化店乡南顾屯村南沧县工业园区内沧乐线与石黄交叉路口处。法定代表人：陆刚,经济类型为有限责任公司分公司（法人独资），经营品种为汽油、柴油。</w:t>
            </w:r>
            <w:r w:rsidRPr="000D732A">
              <w:rPr>
                <w:rFonts w:ascii="宋体" w:hAnsi="宋体" w:hint="eastAsia"/>
                <w:color w:val="FF0000"/>
                <w:sz w:val="24"/>
                <w:szCs w:val="24"/>
              </w:rPr>
              <w:t xml:space="preserve"> </w:t>
            </w:r>
            <w:r w:rsidRPr="000D732A">
              <w:rPr>
                <w:rFonts w:ascii="宋体" w:hAnsi="宋体" w:hint="eastAsia"/>
                <w:sz w:val="24"/>
                <w:szCs w:val="24"/>
              </w:rPr>
              <w:t>该加油站现有埋地储罐5个，其中30m</w:t>
            </w:r>
            <w:r w:rsidRPr="000D732A">
              <w:rPr>
                <w:rFonts w:ascii="宋体" w:hAnsi="宋体" w:hint="eastAsia"/>
                <w:sz w:val="24"/>
                <w:szCs w:val="24"/>
                <w:vertAlign w:val="superscript"/>
              </w:rPr>
              <w:t>3</w:t>
            </w:r>
            <w:r w:rsidRPr="000D732A">
              <w:rPr>
                <w:rFonts w:ascii="宋体" w:hAnsi="宋体" w:hint="eastAsia"/>
                <w:sz w:val="24"/>
                <w:szCs w:val="24"/>
              </w:rPr>
              <w:t>的汽油罐3个、30m</w:t>
            </w:r>
            <w:r w:rsidRPr="000D732A">
              <w:rPr>
                <w:rFonts w:ascii="宋体" w:hAnsi="宋体" w:hint="eastAsia"/>
                <w:sz w:val="24"/>
                <w:szCs w:val="24"/>
                <w:vertAlign w:val="superscript"/>
              </w:rPr>
              <w:t>3</w:t>
            </w:r>
            <w:r w:rsidRPr="000D732A">
              <w:rPr>
                <w:rFonts w:ascii="宋体" w:hAnsi="宋体" w:hint="eastAsia"/>
                <w:sz w:val="24"/>
                <w:szCs w:val="24"/>
              </w:rPr>
              <w:t>的柴油罐2个，汽、柴油合计总储量120m</w:t>
            </w:r>
            <w:r w:rsidRPr="000D732A">
              <w:rPr>
                <w:rFonts w:ascii="宋体" w:hAnsi="宋体" w:hint="eastAsia"/>
                <w:sz w:val="24"/>
                <w:szCs w:val="24"/>
                <w:vertAlign w:val="superscript"/>
              </w:rPr>
              <w:t>3</w:t>
            </w:r>
            <w:r w:rsidRPr="000D732A">
              <w:rPr>
                <w:rFonts w:ascii="宋体" w:hAnsi="宋体" w:hint="eastAsia"/>
                <w:sz w:val="24"/>
                <w:szCs w:val="24"/>
              </w:rPr>
              <w:t>（柴油折合汽油2:1），根据《汽车加油加气站设计与施工规范》（GB50156-2002（2006版））加油站等级划分标准，该站属于二级加油站。该加油站设有双枪加油机4台，包括2台双枪加油机（汽油）、2台双枪加油机（一汽一柴）。</w:t>
            </w:r>
          </w:p>
        </w:tc>
      </w:tr>
      <w:tr w:rsidR="00F8229A" w:rsidRPr="000D732A" w:rsidTr="008933EB">
        <w:trPr>
          <w:trHeight w:val="510"/>
        </w:trPr>
        <w:tc>
          <w:tcPr>
            <w:tcW w:w="8424" w:type="dxa"/>
            <w:gridSpan w:val="5"/>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参加人员简介</w:t>
            </w:r>
          </w:p>
        </w:tc>
      </w:tr>
      <w:tr w:rsidR="00F8229A" w:rsidRPr="000D732A" w:rsidTr="00E536B0">
        <w:trPr>
          <w:trHeight w:val="510"/>
        </w:trPr>
        <w:tc>
          <w:tcPr>
            <w:tcW w:w="1668" w:type="dxa"/>
            <w:gridSpan w:val="2"/>
            <w:vMerge w:val="restart"/>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所承担的工作</w:t>
            </w:r>
          </w:p>
        </w:tc>
        <w:tc>
          <w:tcPr>
            <w:tcW w:w="6756" w:type="dxa"/>
            <w:gridSpan w:val="3"/>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参与评价的安全评价师</w:t>
            </w:r>
          </w:p>
        </w:tc>
      </w:tr>
      <w:tr w:rsidR="00F8229A" w:rsidRPr="000D732A" w:rsidTr="00E536B0">
        <w:trPr>
          <w:trHeight w:val="510"/>
        </w:trPr>
        <w:tc>
          <w:tcPr>
            <w:tcW w:w="1668" w:type="dxa"/>
            <w:gridSpan w:val="2"/>
            <w:vMerge/>
            <w:hideMark/>
          </w:tcPr>
          <w:p w:rsidR="00F8229A" w:rsidRPr="000D732A" w:rsidRDefault="00F8229A" w:rsidP="008933EB">
            <w:pPr>
              <w:widowControl/>
              <w:jc w:val="left"/>
              <w:rPr>
                <w:rFonts w:ascii="Arial" w:hAnsi="Arial" w:cs="Arial"/>
                <w:color w:val="000000"/>
                <w:sz w:val="24"/>
                <w:szCs w:val="24"/>
              </w:rPr>
            </w:pPr>
          </w:p>
        </w:tc>
        <w:tc>
          <w:tcPr>
            <w:tcW w:w="1275"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姓名</w:t>
            </w:r>
          </w:p>
        </w:tc>
        <w:tc>
          <w:tcPr>
            <w:tcW w:w="2277"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资格证书编号</w:t>
            </w:r>
          </w:p>
        </w:tc>
        <w:tc>
          <w:tcPr>
            <w:tcW w:w="3204" w:type="dxa"/>
            <w:hideMark/>
          </w:tcPr>
          <w:p w:rsidR="00F8229A" w:rsidRPr="000D732A" w:rsidRDefault="00F8229A"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从业登记编号</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安全评价项目组长</w:t>
            </w:r>
          </w:p>
        </w:tc>
        <w:tc>
          <w:tcPr>
            <w:tcW w:w="1275" w:type="dxa"/>
            <w:hideMark/>
          </w:tcPr>
          <w:p w:rsidR="00A10E61" w:rsidRPr="000D732A" w:rsidRDefault="00A10E61" w:rsidP="00356648">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王英梅</w:t>
            </w:r>
          </w:p>
        </w:tc>
        <w:tc>
          <w:tcPr>
            <w:tcW w:w="2277" w:type="dxa"/>
            <w:hideMark/>
          </w:tcPr>
          <w:p w:rsidR="00A10E61" w:rsidRPr="000D732A" w:rsidRDefault="00A10E61" w:rsidP="00356648">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0800000000206912</w:t>
            </w:r>
          </w:p>
        </w:tc>
        <w:tc>
          <w:tcPr>
            <w:tcW w:w="3204" w:type="dxa"/>
            <w:hideMark/>
          </w:tcPr>
          <w:p w:rsidR="00A10E61" w:rsidRPr="000D732A" w:rsidRDefault="00A10E61" w:rsidP="00356648">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HB-PJ-2014-2116</w:t>
            </w:r>
          </w:p>
        </w:tc>
      </w:tr>
      <w:tr w:rsidR="00A10E61" w:rsidRPr="000D732A" w:rsidTr="00E536B0">
        <w:trPr>
          <w:trHeight w:val="510"/>
        </w:trPr>
        <w:tc>
          <w:tcPr>
            <w:tcW w:w="1668" w:type="dxa"/>
            <w:gridSpan w:val="2"/>
            <w:vMerge w:val="restart"/>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项目组成员</w:t>
            </w:r>
          </w:p>
        </w:tc>
        <w:tc>
          <w:tcPr>
            <w:tcW w:w="1275" w:type="dxa"/>
            <w:hideMark/>
          </w:tcPr>
          <w:p w:rsidR="00A10E61" w:rsidRPr="000D732A" w:rsidRDefault="00A10E61" w:rsidP="007D613A">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邵 晖</w:t>
            </w:r>
          </w:p>
        </w:tc>
        <w:tc>
          <w:tcPr>
            <w:tcW w:w="2277" w:type="dxa"/>
            <w:hideMark/>
          </w:tcPr>
          <w:p w:rsidR="00A10E61" w:rsidRPr="000D732A" w:rsidRDefault="00A10E61" w:rsidP="007D613A">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1200000000200151</w:t>
            </w:r>
          </w:p>
        </w:tc>
        <w:tc>
          <w:tcPr>
            <w:tcW w:w="3204" w:type="dxa"/>
            <w:hideMark/>
          </w:tcPr>
          <w:p w:rsidR="00A10E61" w:rsidRPr="000D732A" w:rsidRDefault="00A10E61" w:rsidP="007D613A">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HB-PJ-2014-2117</w:t>
            </w:r>
          </w:p>
        </w:tc>
      </w:tr>
      <w:tr w:rsidR="00A10E61" w:rsidRPr="000D732A" w:rsidTr="00E536B0">
        <w:trPr>
          <w:trHeight w:val="510"/>
        </w:trPr>
        <w:tc>
          <w:tcPr>
            <w:tcW w:w="1668" w:type="dxa"/>
            <w:gridSpan w:val="2"/>
            <w:vMerge/>
            <w:hideMark/>
          </w:tcPr>
          <w:p w:rsidR="00A10E61" w:rsidRPr="000D732A" w:rsidRDefault="00A10E61" w:rsidP="008933EB">
            <w:pPr>
              <w:widowControl/>
              <w:jc w:val="left"/>
              <w:rPr>
                <w:rFonts w:ascii="Arial" w:hAnsi="Arial" w:cs="Arial"/>
                <w:color w:val="000000"/>
                <w:sz w:val="24"/>
                <w:szCs w:val="24"/>
              </w:rPr>
            </w:pPr>
          </w:p>
        </w:tc>
        <w:tc>
          <w:tcPr>
            <w:tcW w:w="1275" w:type="dxa"/>
            <w:hideMark/>
          </w:tcPr>
          <w:p w:rsidR="00A10E61" w:rsidRPr="000D732A" w:rsidRDefault="00A10E61" w:rsidP="00661893">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黄伟纯</w:t>
            </w:r>
          </w:p>
        </w:tc>
        <w:tc>
          <w:tcPr>
            <w:tcW w:w="2277" w:type="dxa"/>
            <w:hideMark/>
          </w:tcPr>
          <w:p w:rsidR="00A10E61" w:rsidRPr="000D732A" w:rsidRDefault="00A10E61" w:rsidP="00661893">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0800000000102833</w:t>
            </w:r>
          </w:p>
        </w:tc>
        <w:tc>
          <w:tcPr>
            <w:tcW w:w="3204" w:type="dxa"/>
            <w:hideMark/>
          </w:tcPr>
          <w:p w:rsidR="00A10E61" w:rsidRPr="000D732A" w:rsidRDefault="00A10E61" w:rsidP="00661893">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HB-PJ-2014-2124</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评价报告编制人</w:t>
            </w:r>
          </w:p>
        </w:tc>
        <w:tc>
          <w:tcPr>
            <w:tcW w:w="1275" w:type="dxa"/>
            <w:hideMark/>
          </w:tcPr>
          <w:p w:rsidR="00A10E61" w:rsidRPr="000D732A" w:rsidRDefault="00A10E61" w:rsidP="00113FFC">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邵 晖</w:t>
            </w:r>
          </w:p>
        </w:tc>
        <w:tc>
          <w:tcPr>
            <w:tcW w:w="2277" w:type="dxa"/>
            <w:hideMark/>
          </w:tcPr>
          <w:p w:rsidR="00A10E61" w:rsidRPr="000D732A" w:rsidRDefault="00A10E61" w:rsidP="00113FFC">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1200000000200151</w:t>
            </w:r>
          </w:p>
        </w:tc>
        <w:tc>
          <w:tcPr>
            <w:tcW w:w="3204" w:type="dxa"/>
            <w:hideMark/>
          </w:tcPr>
          <w:p w:rsidR="00A10E61" w:rsidRPr="000D732A" w:rsidRDefault="00A10E61" w:rsidP="00113FFC">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HB-PJ-2014-2117</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报告审核人</w:t>
            </w:r>
          </w:p>
        </w:tc>
        <w:tc>
          <w:tcPr>
            <w:tcW w:w="1275"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Arial" w:hAnsi="Arial" w:cs="Arial" w:hint="eastAsia"/>
                <w:color w:val="000000"/>
                <w:sz w:val="24"/>
                <w:szCs w:val="24"/>
              </w:rPr>
              <w:t>戴峰</w:t>
            </w:r>
          </w:p>
        </w:tc>
        <w:tc>
          <w:tcPr>
            <w:tcW w:w="2277" w:type="dxa"/>
            <w:hideMark/>
          </w:tcPr>
          <w:p w:rsidR="00A10E61" w:rsidRPr="000D732A" w:rsidRDefault="00A10E61" w:rsidP="00A10E61">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1200000000300165</w:t>
            </w:r>
          </w:p>
        </w:tc>
        <w:tc>
          <w:tcPr>
            <w:tcW w:w="3204" w:type="dxa"/>
            <w:hideMark/>
          </w:tcPr>
          <w:p w:rsidR="00A10E61" w:rsidRPr="000D732A" w:rsidRDefault="00A10E61" w:rsidP="00A10E61">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HB-PJ-2014-2125</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过程控制负责人</w:t>
            </w:r>
          </w:p>
        </w:tc>
        <w:tc>
          <w:tcPr>
            <w:tcW w:w="1275"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商 华</w:t>
            </w:r>
          </w:p>
        </w:tc>
        <w:tc>
          <w:tcPr>
            <w:tcW w:w="2277" w:type="dxa"/>
            <w:hideMark/>
          </w:tcPr>
          <w:p w:rsidR="00A10E61" w:rsidRPr="000D732A" w:rsidRDefault="00A10E61" w:rsidP="008933EB">
            <w:pPr>
              <w:widowControl/>
              <w:spacing w:before="100" w:beforeAutospacing="1" w:after="100" w:afterAutospacing="1" w:line="385" w:lineRule="atLeast"/>
              <w:jc w:val="center"/>
              <w:rPr>
                <w:rFonts w:ascii="Arial" w:hAnsi="Arial" w:cs="Arial"/>
                <w:color w:val="000000"/>
                <w:sz w:val="24"/>
                <w:szCs w:val="24"/>
              </w:rPr>
            </w:pPr>
            <w:r w:rsidRPr="000D732A">
              <w:rPr>
                <w:rFonts w:ascii="宋体" w:hAnsi="宋体" w:cs="Arial" w:hint="eastAsia"/>
                <w:color w:val="2C2D2D"/>
                <w:sz w:val="24"/>
                <w:szCs w:val="24"/>
              </w:rPr>
              <w:t>1100000000200697</w:t>
            </w:r>
          </w:p>
        </w:tc>
        <w:tc>
          <w:tcPr>
            <w:tcW w:w="3204"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HB-PJ-2014-2118</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技术负责人</w:t>
            </w:r>
          </w:p>
        </w:tc>
        <w:tc>
          <w:tcPr>
            <w:tcW w:w="1275"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孙端平</w:t>
            </w:r>
          </w:p>
        </w:tc>
        <w:tc>
          <w:tcPr>
            <w:tcW w:w="2277"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0800000000103225</w:t>
            </w:r>
          </w:p>
        </w:tc>
        <w:tc>
          <w:tcPr>
            <w:tcW w:w="3204" w:type="dxa"/>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HB-PJ-2014-2123</w:t>
            </w:r>
          </w:p>
        </w:tc>
      </w:tr>
      <w:tr w:rsidR="00A10E61" w:rsidRPr="000D732A" w:rsidTr="00E536B0">
        <w:trPr>
          <w:trHeight w:val="510"/>
        </w:trPr>
        <w:tc>
          <w:tcPr>
            <w:tcW w:w="1668" w:type="dxa"/>
            <w:gridSpan w:val="2"/>
            <w:vMerge w:val="restart"/>
            <w:hideMark/>
          </w:tcPr>
          <w:p w:rsidR="00A10E61" w:rsidRPr="000D732A" w:rsidRDefault="00A10E61" w:rsidP="008933EB">
            <w:pPr>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现场开展安全现状评价工作情况</w:t>
            </w:r>
          </w:p>
        </w:tc>
        <w:tc>
          <w:tcPr>
            <w:tcW w:w="1275" w:type="dxa"/>
            <w:hideMark/>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人员</w:t>
            </w:r>
          </w:p>
        </w:tc>
        <w:tc>
          <w:tcPr>
            <w:tcW w:w="5481" w:type="dxa"/>
            <w:gridSpan w:val="2"/>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王英梅、邵辉</w:t>
            </w:r>
          </w:p>
        </w:tc>
      </w:tr>
      <w:tr w:rsidR="00A10E61" w:rsidRPr="000D732A" w:rsidTr="00E536B0">
        <w:trPr>
          <w:trHeight w:val="737"/>
        </w:trPr>
        <w:tc>
          <w:tcPr>
            <w:tcW w:w="1668" w:type="dxa"/>
            <w:gridSpan w:val="2"/>
            <w:vMerge/>
            <w:hideMark/>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p>
        </w:tc>
        <w:tc>
          <w:tcPr>
            <w:tcW w:w="1275" w:type="dxa"/>
            <w:hideMark/>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时间</w:t>
            </w:r>
          </w:p>
        </w:tc>
        <w:tc>
          <w:tcPr>
            <w:tcW w:w="5481" w:type="dxa"/>
            <w:gridSpan w:val="2"/>
          </w:tcPr>
          <w:p w:rsidR="00A10E61" w:rsidRPr="000D732A" w:rsidRDefault="00A10E61" w:rsidP="009026FF">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2014年</w:t>
            </w:r>
            <w:r w:rsidR="009026FF" w:rsidRPr="000D732A">
              <w:rPr>
                <w:rFonts w:ascii="宋体" w:hAnsi="宋体" w:cs="Arial" w:hint="eastAsia"/>
                <w:color w:val="2C2D2D"/>
                <w:sz w:val="24"/>
                <w:szCs w:val="24"/>
              </w:rPr>
              <w:t>5</w:t>
            </w:r>
            <w:r w:rsidRPr="000D732A">
              <w:rPr>
                <w:rFonts w:ascii="宋体" w:hAnsi="宋体" w:cs="Arial" w:hint="eastAsia"/>
                <w:color w:val="2C2D2D"/>
                <w:sz w:val="24"/>
                <w:szCs w:val="24"/>
              </w:rPr>
              <w:t>月</w:t>
            </w:r>
            <w:r w:rsidR="009026FF" w:rsidRPr="000D732A">
              <w:rPr>
                <w:rFonts w:ascii="宋体" w:hAnsi="宋体" w:cs="Arial" w:hint="eastAsia"/>
                <w:color w:val="2C2D2D"/>
                <w:sz w:val="24"/>
                <w:szCs w:val="24"/>
              </w:rPr>
              <w:t>2</w:t>
            </w:r>
            <w:r w:rsidR="000D732A" w:rsidRPr="000D732A">
              <w:rPr>
                <w:rFonts w:ascii="宋体" w:hAnsi="宋体" w:cs="Arial" w:hint="eastAsia"/>
                <w:color w:val="2C2D2D"/>
                <w:sz w:val="24"/>
                <w:szCs w:val="24"/>
              </w:rPr>
              <w:t>0</w:t>
            </w:r>
            <w:r w:rsidRPr="000D732A">
              <w:rPr>
                <w:rFonts w:ascii="宋体" w:hAnsi="宋体" w:cs="Arial" w:hint="eastAsia"/>
                <w:color w:val="2C2D2D"/>
                <w:sz w:val="24"/>
                <w:szCs w:val="24"/>
              </w:rPr>
              <w:t>日</w:t>
            </w:r>
          </w:p>
        </w:tc>
      </w:tr>
      <w:tr w:rsidR="00A10E61" w:rsidRPr="000D732A" w:rsidTr="00E536B0">
        <w:trPr>
          <w:trHeight w:val="544"/>
        </w:trPr>
        <w:tc>
          <w:tcPr>
            <w:tcW w:w="1668" w:type="dxa"/>
            <w:gridSpan w:val="2"/>
            <w:vMerge/>
            <w:hideMark/>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p>
        </w:tc>
        <w:tc>
          <w:tcPr>
            <w:tcW w:w="1275" w:type="dxa"/>
            <w:hideMark/>
          </w:tcPr>
          <w:p w:rsidR="00A10E61" w:rsidRPr="000D732A" w:rsidRDefault="00A10E61" w:rsidP="008933EB">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主要任务</w:t>
            </w:r>
          </w:p>
        </w:tc>
        <w:tc>
          <w:tcPr>
            <w:tcW w:w="5481" w:type="dxa"/>
            <w:gridSpan w:val="2"/>
          </w:tcPr>
          <w:p w:rsidR="00A10E61" w:rsidRPr="000D732A" w:rsidRDefault="00A10E61" w:rsidP="00E536B0">
            <w:pPr>
              <w:widowControl/>
              <w:spacing w:before="100" w:beforeAutospacing="1" w:after="100" w:afterAutospacing="1" w:line="368" w:lineRule="atLeast"/>
              <w:jc w:val="center"/>
              <w:rPr>
                <w:rFonts w:ascii="宋体" w:hAnsi="宋体" w:cs="Arial"/>
                <w:color w:val="2C2D2D"/>
                <w:sz w:val="24"/>
                <w:szCs w:val="24"/>
              </w:rPr>
            </w:pPr>
            <w:r w:rsidRPr="000D732A">
              <w:rPr>
                <w:rFonts w:ascii="宋体" w:hAnsi="宋体" w:cs="Arial" w:hint="eastAsia"/>
                <w:color w:val="2C2D2D"/>
                <w:sz w:val="24"/>
                <w:szCs w:val="24"/>
              </w:rPr>
              <w:t>现场勘察、收集资料，了解</w:t>
            </w:r>
            <w:r w:rsidR="00E536B0" w:rsidRPr="000D732A">
              <w:rPr>
                <w:rFonts w:ascii="宋体" w:hAnsi="宋体" w:cs="Arial" w:hint="eastAsia"/>
                <w:color w:val="2C2D2D"/>
                <w:sz w:val="24"/>
                <w:szCs w:val="24"/>
              </w:rPr>
              <w:t>加油站</w:t>
            </w:r>
            <w:r w:rsidRPr="000D732A">
              <w:rPr>
                <w:rFonts w:ascii="宋体" w:hAnsi="宋体" w:cs="Arial" w:hint="eastAsia"/>
                <w:color w:val="2C2D2D"/>
                <w:sz w:val="24"/>
                <w:szCs w:val="24"/>
              </w:rPr>
              <w:t>安全</w:t>
            </w:r>
            <w:r w:rsidR="00E536B0" w:rsidRPr="000D732A">
              <w:rPr>
                <w:rFonts w:ascii="宋体" w:hAnsi="宋体" w:cs="Arial" w:hint="eastAsia"/>
                <w:color w:val="2C2D2D"/>
                <w:sz w:val="24"/>
                <w:szCs w:val="24"/>
              </w:rPr>
              <w:t>经营</w:t>
            </w:r>
            <w:r w:rsidRPr="000D732A">
              <w:rPr>
                <w:rFonts w:ascii="宋体" w:hAnsi="宋体" w:cs="Arial" w:hint="eastAsia"/>
                <w:color w:val="2C2D2D"/>
                <w:sz w:val="24"/>
                <w:szCs w:val="24"/>
              </w:rPr>
              <w:t>情况</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报告提交时间</w:t>
            </w:r>
          </w:p>
        </w:tc>
        <w:tc>
          <w:tcPr>
            <w:tcW w:w="6756" w:type="dxa"/>
            <w:gridSpan w:val="3"/>
            <w:hideMark/>
          </w:tcPr>
          <w:p w:rsidR="00A10E61" w:rsidRPr="000D732A" w:rsidRDefault="00A10E61" w:rsidP="009026FF">
            <w:pPr>
              <w:widowControl/>
              <w:spacing w:before="100" w:beforeAutospacing="1" w:after="100" w:afterAutospacing="1" w:line="368" w:lineRule="atLeast"/>
              <w:jc w:val="center"/>
              <w:rPr>
                <w:rFonts w:ascii="Arial" w:hAnsi="Arial" w:cs="Arial"/>
                <w:color w:val="000000"/>
                <w:sz w:val="24"/>
                <w:szCs w:val="24"/>
              </w:rPr>
            </w:pPr>
            <w:r w:rsidRPr="000D732A">
              <w:rPr>
                <w:rFonts w:ascii="宋体" w:hAnsi="宋体" w:cs="Arial" w:hint="eastAsia"/>
                <w:color w:val="2C2D2D"/>
                <w:sz w:val="24"/>
                <w:szCs w:val="24"/>
              </w:rPr>
              <w:t>2014年</w:t>
            </w:r>
            <w:r w:rsidR="000D732A" w:rsidRPr="000D732A">
              <w:rPr>
                <w:rFonts w:ascii="宋体" w:hAnsi="宋体" w:cs="Arial" w:hint="eastAsia"/>
                <w:color w:val="2C2D2D"/>
                <w:sz w:val="24"/>
                <w:szCs w:val="24"/>
              </w:rPr>
              <w:t>6</w:t>
            </w:r>
            <w:r w:rsidRPr="000D732A">
              <w:rPr>
                <w:rFonts w:ascii="宋体" w:hAnsi="宋体" w:cs="Arial" w:hint="eastAsia"/>
                <w:color w:val="2C2D2D"/>
                <w:sz w:val="24"/>
                <w:szCs w:val="24"/>
              </w:rPr>
              <w:t>月</w:t>
            </w:r>
            <w:r w:rsidR="000D732A" w:rsidRPr="000D732A">
              <w:rPr>
                <w:rFonts w:ascii="宋体" w:hAnsi="宋体" w:cs="Arial" w:hint="eastAsia"/>
                <w:color w:val="2C2D2D"/>
                <w:sz w:val="24"/>
                <w:szCs w:val="24"/>
              </w:rPr>
              <w:t>11</w:t>
            </w:r>
            <w:r w:rsidRPr="000D732A">
              <w:rPr>
                <w:rFonts w:ascii="宋体" w:hAnsi="宋体" w:cs="Arial" w:hint="eastAsia"/>
                <w:color w:val="2C2D2D"/>
                <w:sz w:val="24"/>
                <w:szCs w:val="24"/>
              </w:rPr>
              <w:t>日</w:t>
            </w:r>
          </w:p>
        </w:tc>
      </w:tr>
      <w:tr w:rsidR="00A10E61" w:rsidRPr="000D732A" w:rsidTr="00E536B0">
        <w:trPr>
          <w:trHeight w:val="510"/>
        </w:trPr>
        <w:tc>
          <w:tcPr>
            <w:tcW w:w="1668" w:type="dxa"/>
            <w:gridSpan w:val="2"/>
            <w:hideMark/>
          </w:tcPr>
          <w:p w:rsidR="00A10E61" w:rsidRPr="000D732A" w:rsidRDefault="00A10E61" w:rsidP="008933EB">
            <w:pPr>
              <w:widowControl/>
              <w:spacing w:before="100" w:beforeAutospacing="1" w:after="100" w:afterAutospacing="1" w:line="335" w:lineRule="atLeast"/>
              <w:jc w:val="center"/>
              <w:rPr>
                <w:rFonts w:ascii="Arial" w:hAnsi="Arial" w:cs="Arial"/>
                <w:color w:val="000000"/>
                <w:sz w:val="24"/>
                <w:szCs w:val="24"/>
              </w:rPr>
            </w:pPr>
            <w:r w:rsidRPr="000D732A">
              <w:rPr>
                <w:rFonts w:ascii="宋体" w:hAnsi="宋体" w:cs="Arial" w:hint="eastAsia"/>
                <w:color w:val="2C2D2D"/>
                <w:sz w:val="24"/>
                <w:szCs w:val="24"/>
              </w:rPr>
              <w:t>备注</w:t>
            </w:r>
          </w:p>
        </w:tc>
        <w:tc>
          <w:tcPr>
            <w:tcW w:w="6756" w:type="dxa"/>
            <w:gridSpan w:val="3"/>
            <w:hideMark/>
          </w:tcPr>
          <w:p w:rsidR="00A10E61" w:rsidRPr="000D732A" w:rsidRDefault="00A10E61" w:rsidP="008933EB">
            <w:pPr>
              <w:widowControl/>
              <w:jc w:val="left"/>
              <w:rPr>
                <w:rFonts w:ascii="Arial" w:hAnsi="Arial" w:cs="Arial"/>
                <w:color w:val="000000"/>
                <w:sz w:val="24"/>
                <w:szCs w:val="24"/>
              </w:rPr>
            </w:pPr>
          </w:p>
        </w:tc>
      </w:tr>
    </w:tbl>
    <w:p w:rsidR="00F8229A" w:rsidRDefault="00F8229A" w:rsidP="00E536B0"/>
    <w:sectPr w:rsidR="00F8229A" w:rsidSect="000B33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7B" w:rsidRDefault="00313C7B" w:rsidP="00F8229A">
      <w:r>
        <w:separator/>
      </w:r>
    </w:p>
  </w:endnote>
  <w:endnote w:type="continuationSeparator" w:id="1">
    <w:p w:rsidR="00313C7B" w:rsidRDefault="00313C7B" w:rsidP="00F82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7B" w:rsidRDefault="00313C7B" w:rsidP="00F8229A">
      <w:r>
        <w:separator/>
      </w:r>
    </w:p>
  </w:footnote>
  <w:footnote w:type="continuationSeparator" w:id="1">
    <w:p w:rsidR="00313C7B" w:rsidRDefault="00313C7B" w:rsidP="00F82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B332A"/>
    <w:rsid w:val="000D732A"/>
    <w:rsid w:val="00313C7B"/>
    <w:rsid w:val="00474A15"/>
    <w:rsid w:val="005C7FDE"/>
    <w:rsid w:val="005E5AF2"/>
    <w:rsid w:val="006203A2"/>
    <w:rsid w:val="008B6D1A"/>
    <w:rsid w:val="009026FF"/>
    <w:rsid w:val="00903866"/>
    <w:rsid w:val="009A5FE1"/>
    <w:rsid w:val="00A033F0"/>
    <w:rsid w:val="00A10E61"/>
    <w:rsid w:val="00E536B0"/>
    <w:rsid w:val="00F82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2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229A"/>
    <w:rPr>
      <w:sz w:val="18"/>
      <w:szCs w:val="18"/>
    </w:rPr>
  </w:style>
  <w:style w:type="paragraph" w:styleId="a4">
    <w:name w:val="footer"/>
    <w:basedOn w:val="a"/>
    <w:link w:val="Char0"/>
    <w:unhideWhenUsed/>
    <w:rsid w:val="00F822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8229A"/>
    <w:rPr>
      <w:sz w:val="18"/>
      <w:szCs w:val="18"/>
    </w:rPr>
  </w:style>
  <w:style w:type="table" w:styleId="a5">
    <w:name w:val="Table Grid"/>
    <w:basedOn w:val="a1"/>
    <w:uiPriority w:val="59"/>
    <w:rsid w:val="00F8229A"/>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rsid w:val="009026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2015-11-09T01:20:00Z</dcterms:created>
  <dcterms:modified xsi:type="dcterms:W3CDTF">2015-11-09T13:59:00Z</dcterms:modified>
</cp:coreProperties>
</file>